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8" w:space="0" w:color="002060"/>
          <w:insideH w:val="none" w:sz="0" w:space="0" w:color="auto"/>
          <w:insideV w:val="none" w:sz="0" w:space="0" w:color="auto"/>
        </w:tblBorders>
        <w:tblCellMar>
          <w:top w:w="284" w:type="dxa"/>
          <w:bottom w:w="284" w:type="dxa"/>
          <w:right w:w="340" w:type="dxa"/>
        </w:tblCellMar>
        <w:tblLook w:val="04A0" w:firstRow="1" w:lastRow="0" w:firstColumn="1" w:lastColumn="0" w:noHBand="0" w:noVBand="1"/>
      </w:tblPr>
      <w:tblGrid>
        <w:gridCol w:w="9214"/>
      </w:tblGrid>
      <w:tr w:rsidR="006670F4" w:rsidTr="003A1B21">
        <w:tc>
          <w:tcPr>
            <w:tcW w:w="9214" w:type="dxa"/>
          </w:tcPr>
          <w:p w:rsidR="006670F4" w:rsidRDefault="006670F4" w:rsidP="003A1B21">
            <w:pPr>
              <w:spacing w:after="120"/>
              <w:jc w:val="right"/>
              <w:rPr>
                <w:rFonts w:ascii="Arial Rounded MT Bold" w:hAnsi="Arial Rounded MT Bold" w:cs="Arial"/>
                <w:color w:val="595959" w:themeColor="text1" w:themeTint="A6"/>
                <w:sz w:val="28"/>
                <w:szCs w:val="64"/>
              </w:rPr>
            </w:pPr>
            <w:r w:rsidRPr="003B4C36">
              <w:rPr>
                <w:rFonts w:ascii="Arial" w:hAnsi="Arial" w:cs="Arial"/>
                <w:color w:val="595959" w:themeColor="text1" w:themeTint="A6"/>
                <w:sz w:val="28"/>
                <w:szCs w:val="64"/>
              </w:rPr>
              <w:t>Heads of Workers’ Compensation Authorities</w:t>
            </w:r>
            <w:r w:rsidRPr="003B4C36">
              <w:rPr>
                <w:rFonts w:ascii="Arial Rounded MT Bold" w:hAnsi="Arial Rounded MT Bold" w:cs="Arial"/>
                <w:color w:val="595959" w:themeColor="text1" w:themeTint="A6"/>
                <w:sz w:val="28"/>
                <w:szCs w:val="64"/>
              </w:rPr>
              <w:t xml:space="preserve"> </w:t>
            </w:r>
          </w:p>
          <w:p w:rsidR="006670F4" w:rsidRPr="00565EA6" w:rsidRDefault="006670F4" w:rsidP="003A1B21">
            <w:pPr>
              <w:jc w:val="right"/>
              <w:rPr>
                <w:rFonts w:ascii="Arial Rounded MT Bold" w:hAnsi="Arial Rounded MT Bold" w:cs="Arial"/>
                <w:color w:val="002060"/>
                <w:sz w:val="52"/>
                <w:szCs w:val="64"/>
              </w:rPr>
            </w:pPr>
            <w:r w:rsidRPr="00565EA6">
              <w:rPr>
                <w:rFonts w:ascii="Arial Rounded MT Bold" w:hAnsi="Arial Rounded MT Bold" w:cs="Arial"/>
                <w:color w:val="002060"/>
                <w:sz w:val="48"/>
                <w:szCs w:val="64"/>
              </w:rPr>
              <w:t xml:space="preserve">CERTIFICATION OF CAPACITY: </w:t>
            </w:r>
            <w:r w:rsidRPr="00565EA6">
              <w:rPr>
                <w:rFonts w:ascii="Arial Rounded MT Bold" w:hAnsi="Arial Rounded MT Bold" w:cs="Arial"/>
                <w:color w:val="002060"/>
                <w:sz w:val="48"/>
                <w:szCs w:val="64"/>
              </w:rPr>
              <w:br/>
              <w:t>A NATIONAL APPROACH</w:t>
            </w:r>
          </w:p>
          <w:p w:rsidR="006670F4" w:rsidRPr="00565EA6" w:rsidRDefault="006670F4" w:rsidP="003A1B21">
            <w:pPr>
              <w:jc w:val="right"/>
              <w:rPr>
                <w:rFonts w:ascii="Arial" w:hAnsi="Arial" w:cs="Arial"/>
                <w:color w:val="7F7F7F" w:themeColor="text1" w:themeTint="80"/>
                <w:sz w:val="28"/>
              </w:rPr>
            </w:pPr>
          </w:p>
          <w:p w:rsidR="006670F4" w:rsidRPr="00565EA6" w:rsidRDefault="006670F4" w:rsidP="003A1B21">
            <w:pPr>
              <w:jc w:val="right"/>
              <w:rPr>
                <w:rFonts w:ascii="Arial" w:hAnsi="Arial" w:cs="Arial"/>
                <w:color w:val="7F7F7F" w:themeColor="text1" w:themeTint="80"/>
                <w:sz w:val="36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</w:rPr>
              <w:t>PROGRAM OVERVIEW</w:t>
            </w:r>
          </w:p>
        </w:tc>
      </w:tr>
    </w:tbl>
    <w:p w:rsidR="006670F4" w:rsidRPr="00E04188" w:rsidRDefault="006670F4" w:rsidP="006670F4">
      <w:pPr>
        <w:spacing w:after="0"/>
        <w:rPr>
          <w:rFonts w:ascii="Arial Rounded MT Bold" w:hAnsi="Arial Rounded MT Bold" w:cs="Arial"/>
          <w:color w:val="002060"/>
          <w:sz w:val="10"/>
        </w:rPr>
      </w:pPr>
    </w:p>
    <w:p w:rsidR="006670F4" w:rsidRDefault="006670F4" w:rsidP="006670F4">
      <w:pPr>
        <w:spacing w:after="60"/>
        <w:rPr>
          <w:rFonts w:ascii="Arial Rounded MT Bold" w:hAnsi="Arial Rounded MT Bold" w:cs="Arial"/>
          <w:color w:val="002060"/>
        </w:rPr>
      </w:pPr>
      <w:r>
        <w:rPr>
          <w:rFonts w:ascii="Arial Rounded MT Bold" w:hAnsi="Arial Rounded MT Bold" w:cs="Arial"/>
          <w:color w:val="002060"/>
        </w:rPr>
        <w:t>PURPOSE</w:t>
      </w:r>
    </w:p>
    <w:p w:rsidR="006670F4" w:rsidRPr="005A5B15" w:rsidRDefault="006670F4" w:rsidP="006670F4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purpose of this document is to provide a high-level overview of the program of work on behalf of the Heads of Workers’ Compensation Authorities (HWCA) to scope a nationally-consistent approach to certification of capacity. </w:t>
      </w:r>
    </w:p>
    <w:p w:rsidR="006670F4" w:rsidRDefault="006670F4" w:rsidP="006670F4">
      <w:pPr>
        <w:spacing w:after="60"/>
        <w:rPr>
          <w:rFonts w:ascii="Arial Rounded MT Bold" w:hAnsi="Arial Rounded MT Bold" w:cs="Arial"/>
          <w:color w:val="002060"/>
        </w:rPr>
      </w:pPr>
    </w:p>
    <w:p w:rsidR="006670F4" w:rsidRDefault="00427E50" w:rsidP="006670F4">
      <w:pPr>
        <w:spacing w:after="60"/>
        <w:rPr>
          <w:rFonts w:ascii="Arial Rounded MT Bold" w:hAnsi="Arial Rounded MT Bold" w:cs="Arial"/>
          <w:color w:val="002060"/>
        </w:rPr>
      </w:pPr>
      <w:r>
        <w:rPr>
          <w:rFonts w:ascii="Arial Rounded MT Bold" w:hAnsi="Arial Rounded MT Bold" w:cs="Arial"/>
          <w:color w:val="002060"/>
        </w:rPr>
        <w:t>BACKGROUND</w:t>
      </w:r>
    </w:p>
    <w:p w:rsidR="004F6980" w:rsidRPr="00DF2BCF" w:rsidRDefault="0024339F" w:rsidP="0024339F">
      <w:pPr>
        <w:spacing w:after="0"/>
        <w:rPr>
          <w:rFonts w:ascii="Arial" w:hAnsi="Arial" w:cs="Arial"/>
          <w:caps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benefits of a nationally-consistent approach to certification of capacity have been widely discussed and acknowledged by HWCA. Benefits of a national approach were particularly evident </w:t>
      </w:r>
      <w:r w:rsidR="00DF2BCF">
        <w:rPr>
          <w:rFonts w:ascii="Arial" w:hAnsi="Arial" w:cs="Arial"/>
          <w:sz w:val="21"/>
          <w:szCs w:val="21"/>
        </w:rPr>
        <w:t xml:space="preserve">for jurisdictions </w:t>
      </w:r>
      <w:r w:rsidRPr="005A5B15">
        <w:rPr>
          <w:rFonts w:ascii="Arial" w:hAnsi="Arial" w:cs="Arial"/>
          <w:sz w:val="21"/>
          <w:szCs w:val="21"/>
        </w:rPr>
        <w:t xml:space="preserve">that have significant volumes of transient workers who often sought treatment or recovery outside their place of employment. </w:t>
      </w:r>
    </w:p>
    <w:p w:rsidR="004F6980" w:rsidRPr="005A5B15" w:rsidRDefault="004F6980" w:rsidP="0024339F">
      <w:pPr>
        <w:spacing w:after="0"/>
        <w:rPr>
          <w:rFonts w:ascii="Arial" w:hAnsi="Arial" w:cs="Arial"/>
          <w:sz w:val="21"/>
          <w:szCs w:val="21"/>
        </w:rPr>
      </w:pPr>
    </w:p>
    <w:p w:rsidR="0024339F" w:rsidRPr="005A5B15" w:rsidRDefault="0024339F" w:rsidP="0024339F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Psychological illness for some worker cohorts such as fly-in fly-out workers was raised as a growing concern and it was noted a consistent approach to certification for these cohorts would be highly beneficial.</w:t>
      </w:r>
    </w:p>
    <w:p w:rsidR="0024339F" w:rsidRPr="005A5B15" w:rsidRDefault="0024339F" w:rsidP="0024339F">
      <w:pPr>
        <w:spacing w:after="0"/>
        <w:rPr>
          <w:rFonts w:ascii="Arial" w:hAnsi="Arial" w:cs="Arial"/>
          <w:sz w:val="21"/>
          <w:szCs w:val="21"/>
        </w:rPr>
      </w:pPr>
    </w:p>
    <w:p w:rsidR="0024339F" w:rsidRPr="005A5B15" w:rsidRDefault="0024339F" w:rsidP="003E2795">
      <w:pPr>
        <w:spacing w:after="6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Other benefits identified from the consultation included:</w:t>
      </w:r>
    </w:p>
    <w:p w:rsidR="0024339F" w:rsidRPr="005A5B15" w:rsidRDefault="0024339F" w:rsidP="003E2795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a collective opportunity to develop a national approach to certification informed by </w:t>
      </w:r>
      <w:r w:rsidRPr="005A5B15">
        <w:rPr>
          <w:rFonts w:ascii="Arial" w:hAnsi="Arial" w:cs="Arial"/>
          <w:b/>
          <w:sz w:val="21"/>
          <w:szCs w:val="21"/>
        </w:rPr>
        <w:t>best practice</w:t>
      </w:r>
      <w:r w:rsidRPr="005A5B15">
        <w:rPr>
          <w:rFonts w:ascii="Arial" w:hAnsi="Arial" w:cs="Arial"/>
          <w:sz w:val="21"/>
          <w:szCs w:val="21"/>
        </w:rPr>
        <w:t xml:space="preserve"> and leveraging the most effective elements of various certificates (mental health and psychological assessment/certification being an example identified by many),</w:t>
      </w:r>
    </w:p>
    <w:p w:rsidR="0024339F" w:rsidRPr="005A5B15" w:rsidRDefault="0024339F" w:rsidP="003E2795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a </w:t>
      </w:r>
      <w:r w:rsidRPr="005A5B15">
        <w:rPr>
          <w:rFonts w:ascii="Arial" w:hAnsi="Arial" w:cs="Arial"/>
          <w:b/>
          <w:sz w:val="21"/>
          <w:szCs w:val="21"/>
        </w:rPr>
        <w:t>single certificate of capacity</w:t>
      </w:r>
      <w:r w:rsidRPr="005A5B15">
        <w:rPr>
          <w:rFonts w:ascii="Arial" w:hAnsi="Arial" w:cs="Arial"/>
          <w:sz w:val="21"/>
          <w:szCs w:val="21"/>
        </w:rPr>
        <w:t xml:space="preserve"> that can be used regardless of the state or territory a medical practitioner, injured worker or employer is located, which would also streamline certification processes for national employers and insurers,</w:t>
      </w:r>
    </w:p>
    <w:p w:rsidR="0024339F" w:rsidRPr="005A5B15" w:rsidRDefault="0024339F" w:rsidP="003E2795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a </w:t>
      </w:r>
      <w:r w:rsidRPr="005A5B15">
        <w:rPr>
          <w:rFonts w:ascii="Arial" w:hAnsi="Arial" w:cs="Arial"/>
          <w:b/>
          <w:sz w:val="21"/>
          <w:szCs w:val="21"/>
        </w:rPr>
        <w:t>streamlined national approach</w:t>
      </w:r>
      <w:r w:rsidRPr="005A5B15">
        <w:rPr>
          <w:rFonts w:ascii="Arial" w:hAnsi="Arial" w:cs="Arial"/>
          <w:sz w:val="21"/>
          <w:szCs w:val="21"/>
        </w:rPr>
        <w:t xml:space="preserve"> for engaging with the Royal Australian College of General Practitioners and to influence certification policy, education and behaviours, and</w:t>
      </w:r>
    </w:p>
    <w:p w:rsidR="006670F4" w:rsidRPr="005A5B15" w:rsidRDefault="0024339F" w:rsidP="0024339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an opportunity to </w:t>
      </w:r>
      <w:r w:rsidRPr="005A5B15">
        <w:rPr>
          <w:rFonts w:ascii="Arial" w:hAnsi="Arial" w:cs="Arial"/>
          <w:b/>
          <w:sz w:val="21"/>
          <w:szCs w:val="21"/>
        </w:rPr>
        <w:t>collect standardised national data</w:t>
      </w:r>
      <w:r w:rsidRPr="005A5B15">
        <w:rPr>
          <w:rFonts w:ascii="Arial" w:hAnsi="Arial" w:cs="Arial"/>
          <w:sz w:val="21"/>
          <w:szCs w:val="21"/>
        </w:rPr>
        <w:t xml:space="preserve"> on certification practices and outcomes which can inform future policy and initiatives related to recovery and return to work.</w:t>
      </w:r>
    </w:p>
    <w:p w:rsidR="006670F4" w:rsidRPr="005A5B15" w:rsidRDefault="006670F4" w:rsidP="006670F4">
      <w:pPr>
        <w:spacing w:after="0"/>
        <w:rPr>
          <w:rFonts w:ascii="Arial" w:hAnsi="Arial" w:cs="Arial"/>
          <w:sz w:val="21"/>
          <w:szCs w:val="21"/>
        </w:rPr>
      </w:pPr>
    </w:p>
    <w:p w:rsidR="003E2795" w:rsidRPr="005A5B15" w:rsidRDefault="003E2795" w:rsidP="006670F4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At the last HWCA meeting in October 2018, a report was tabled outlining initial consultations regarding a national approach to certification of capacity. This report, completed by Comcare, on behalf of HWCA explored the above benefits, policy factors and implementation considerations of a nationally-consistent approach to certificates.</w:t>
      </w:r>
    </w:p>
    <w:p w:rsidR="003E2795" w:rsidRPr="005A5B15" w:rsidRDefault="003E2795" w:rsidP="006670F4">
      <w:pPr>
        <w:spacing w:after="0"/>
        <w:rPr>
          <w:rFonts w:ascii="Arial" w:hAnsi="Arial" w:cs="Arial"/>
          <w:sz w:val="21"/>
          <w:szCs w:val="21"/>
        </w:rPr>
      </w:pPr>
    </w:p>
    <w:p w:rsidR="003E2795" w:rsidRPr="005A5B15" w:rsidRDefault="003E2795" w:rsidP="006670F4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HWCA group endorsed the further progression of this work, seeking the development of a national certificate of capacity data set. This HWCA action </w:t>
      </w:r>
      <w:r w:rsidR="005148D3" w:rsidRPr="005A5B15">
        <w:rPr>
          <w:rFonts w:ascii="Arial" w:hAnsi="Arial" w:cs="Arial"/>
          <w:sz w:val="21"/>
          <w:szCs w:val="21"/>
        </w:rPr>
        <w:t xml:space="preserve">forms the basis of this program of work. </w:t>
      </w:r>
      <w:r w:rsidRPr="005A5B15">
        <w:rPr>
          <w:rFonts w:ascii="Arial" w:hAnsi="Arial" w:cs="Arial"/>
          <w:sz w:val="21"/>
          <w:szCs w:val="21"/>
        </w:rPr>
        <w:t xml:space="preserve"> </w:t>
      </w:r>
    </w:p>
    <w:p w:rsidR="00427E50" w:rsidRPr="003E2795" w:rsidRDefault="00427E50" w:rsidP="006670F4">
      <w:pPr>
        <w:spacing w:after="0"/>
        <w:rPr>
          <w:rFonts w:ascii="Arial" w:hAnsi="Arial" w:cs="Arial"/>
          <w:sz w:val="20"/>
          <w:szCs w:val="20"/>
        </w:rPr>
      </w:pPr>
    </w:p>
    <w:p w:rsidR="006670F4" w:rsidRDefault="006670F4" w:rsidP="006670F4">
      <w:pPr>
        <w:spacing w:after="60"/>
        <w:rPr>
          <w:rFonts w:ascii="Arial Rounded MT Bold" w:hAnsi="Arial Rounded MT Bold" w:cs="Arial"/>
          <w:color w:val="002060"/>
        </w:rPr>
      </w:pPr>
      <w:r>
        <w:rPr>
          <w:rFonts w:ascii="Arial Rounded MT Bold" w:hAnsi="Arial Rounded MT Bold" w:cs="Arial"/>
          <w:color w:val="002060"/>
        </w:rPr>
        <w:t xml:space="preserve">OBJECTIVE </w:t>
      </w:r>
    </w:p>
    <w:p w:rsidR="006670F4" w:rsidRPr="005A5B15" w:rsidRDefault="006670F4" w:rsidP="006670F4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This project will deliver a nationally-consistent approach to certification of capacity (national certificate of capacity) to be presented to the HWCA group and will be delive</w:t>
      </w:r>
      <w:r w:rsidR="00545764" w:rsidRPr="005A5B15">
        <w:rPr>
          <w:rFonts w:ascii="Arial" w:hAnsi="Arial" w:cs="Arial"/>
          <w:sz w:val="21"/>
          <w:szCs w:val="21"/>
        </w:rPr>
        <w:t>red by a working group, the National Certificate of Capacity Working Group (NCC WG).</w:t>
      </w:r>
    </w:p>
    <w:p w:rsidR="00545764" w:rsidRPr="005A5B15" w:rsidRDefault="00545764" w:rsidP="006670F4">
      <w:pPr>
        <w:spacing w:after="0"/>
        <w:rPr>
          <w:rFonts w:ascii="Arial" w:hAnsi="Arial" w:cs="Arial"/>
          <w:sz w:val="21"/>
          <w:szCs w:val="21"/>
        </w:rPr>
      </w:pPr>
    </w:p>
    <w:p w:rsidR="00545764" w:rsidRPr="005A5B15" w:rsidRDefault="00545764" w:rsidP="00545764">
      <w:pPr>
        <w:spacing w:after="6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lastRenderedPageBreak/>
        <w:t>The NCC WG comprises representatives from the following HWCA jurisdictions: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Comcare (Chair)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ACT Government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NSW State Insurance Regulatory Authority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NT WorkSafe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Queensland Office of Industrial Relations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proofErr w:type="spellStart"/>
      <w:r w:rsidRPr="005A5B15">
        <w:rPr>
          <w:rFonts w:ascii="Arial" w:hAnsi="Arial" w:cs="Arial"/>
          <w:sz w:val="21"/>
          <w:szCs w:val="21"/>
        </w:rPr>
        <w:t>ReturntoWorkSA</w:t>
      </w:r>
      <w:proofErr w:type="spellEnd"/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WorkCover WA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WorkSafe Tasmania</w:t>
      </w:r>
    </w:p>
    <w:p w:rsidR="00545764" w:rsidRPr="005A5B15" w:rsidRDefault="00545764" w:rsidP="0054576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WorkSafe Victoria</w:t>
      </w:r>
    </w:p>
    <w:p w:rsidR="00545764" w:rsidRPr="005A5B15" w:rsidRDefault="00545764" w:rsidP="006670F4">
      <w:pPr>
        <w:spacing w:after="0"/>
        <w:rPr>
          <w:rFonts w:ascii="Arial" w:hAnsi="Arial" w:cs="Arial"/>
          <w:sz w:val="21"/>
          <w:szCs w:val="21"/>
        </w:rPr>
      </w:pPr>
    </w:p>
    <w:p w:rsidR="00545764" w:rsidRPr="005A5B15" w:rsidRDefault="00545764" w:rsidP="006670F4">
      <w:p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It is important to note that this program of work is not intended to be a redesign of certificates and is not intended to address matters that were experienced or raised as part of prior redesign activities. </w:t>
      </w:r>
    </w:p>
    <w:p w:rsidR="00545764" w:rsidRPr="006C56AB" w:rsidRDefault="00545764" w:rsidP="006670F4">
      <w:pPr>
        <w:spacing w:after="0"/>
        <w:rPr>
          <w:rFonts w:ascii="Arial" w:hAnsi="Arial" w:cs="Arial"/>
        </w:rPr>
      </w:pPr>
    </w:p>
    <w:p w:rsidR="006670F4" w:rsidRDefault="006670F4" w:rsidP="006670F4">
      <w:pPr>
        <w:spacing w:after="60"/>
        <w:rPr>
          <w:rFonts w:ascii="Arial Rounded MT Bold" w:hAnsi="Arial Rounded MT Bold" w:cs="Arial"/>
          <w:color w:val="002060"/>
        </w:rPr>
      </w:pPr>
      <w:r>
        <w:rPr>
          <w:rFonts w:ascii="Arial Rounded MT Bold" w:hAnsi="Arial Rounded MT Bold" w:cs="Arial"/>
          <w:color w:val="002060"/>
        </w:rPr>
        <w:t>APPROACH</w:t>
      </w:r>
    </w:p>
    <w:p w:rsidR="006670F4" w:rsidRDefault="006670F4" w:rsidP="00E730AB">
      <w:pPr>
        <w:spacing w:after="240"/>
        <w:rPr>
          <w:rFonts w:ascii="Arial" w:hAnsi="Arial" w:cs="Arial"/>
          <w:color w:val="000000" w:themeColor="text1"/>
          <w:sz w:val="21"/>
          <w:szCs w:val="21"/>
        </w:rPr>
      </w:pPr>
      <w:r w:rsidRPr="005A5B15">
        <w:rPr>
          <w:rFonts w:ascii="Arial" w:hAnsi="Arial" w:cs="Arial"/>
          <w:color w:val="000000" w:themeColor="text1"/>
          <w:sz w:val="21"/>
          <w:szCs w:val="21"/>
        </w:rPr>
        <w:t xml:space="preserve">It is proposed that a national certificate of capacity be delivered in a phased approach that will include work already completed as part of previous HWCA action.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7603"/>
      </w:tblGrid>
      <w:tr w:rsidR="008D2275" w:rsidTr="008D2275">
        <w:tc>
          <w:tcPr>
            <w:tcW w:w="1413" w:type="dxa"/>
            <w:shd w:val="clear" w:color="auto" w:fill="D9E2F3" w:themeFill="accent1" w:themeFillTint="33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Part 1 – </w:t>
            </w:r>
            <w:r w:rsidR="003B75D1">
              <w:rPr>
                <w:rFonts w:ascii="Arial" w:hAnsi="Arial" w:cs="Arial"/>
                <w:color w:val="000000" w:themeColor="text1"/>
                <w:sz w:val="21"/>
                <w:szCs w:val="21"/>
              </w:rPr>
              <w:t>engagement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603" w:type="dxa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Stakeholder </w:t>
            </w:r>
            <w:r w:rsidR="003B75D1">
              <w:rPr>
                <w:rFonts w:ascii="Arial" w:hAnsi="Arial" w:cs="Arial"/>
                <w:color w:val="000000" w:themeColor="text1"/>
                <w:sz w:val="21"/>
                <w:szCs w:val="21"/>
              </w:rPr>
              <w:t>engagement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with national and jurisdictional organisations representing:</w:t>
            </w:r>
          </w:p>
          <w:p w:rsidR="008D2275" w:rsidRPr="0081262C" w:rsidRDefault="008D2275" w:rsidP="008D2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1262C">
              <w:rPr>
                <w:rFonts w:ascii="Arial" w:hAnsi="Arial" w:cs="Arial"/>
                <w:color w:val="000000" w:themeColor="text1"/>
                <w:sz w:val="21"/>
                <w:szCs w:val="21"/>
              </w:rPr>
              <w:t>Unions</w:t>
            </w:r>
          </w:p>
          <w:p w:rsidR="008D2275" w:rsidRPr="0081262C" w:rsidRDefault="008D2275" w:rsidP="008D2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1262C">
              <w:rPr>
                <w:rFonts w:ascii="Arial" w:hAnsi="Arial" w:cs="Arial"/>
                <w:color w:val="000000" w:themeColor="text1"/>
                <w:sz w:val="21"/>
                <w:szCs w:val="21"/>
              </w:rPr>
              <w:t>Employers</w:t>
            </w:r>
          </w:p>
          <w:p w:rsidR="008D2275" w:rsidRPr="0081262C" w:rsidRDefault="008D2275" w:rsidP="008D2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1262C">
              <w:rPr>
                <w:rFonts w:ascii="Arial" w:hAnsi="Arial" w:cs="Arial"/>
                <w:color w:val="000000" w:themeColor="text1"/>
                <w:sz w:val="21"/>
                <w:szCs w:val="21"/>
              </w:rPr>
              <w:t>Injured workers</w:t>
            </w:r>
          </w:p>
          <w:p w:rsidR="008D2275" w:rsidRPr="0081262C" w:rsidRDefault="008D2275" w:rsidP="008D2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1262C">
              <w:rPr>
                <w:rFonts w:ascii="Arial" w:hAnsi="Arial" w:cs="Arial"/>
                <w:color w:val="000000" w:themeColor="text1"/>
                <w:sz w:val="21"/>
                <w:szCs w:val="21"/>
              </w:rPr>
              <w:t>Medical practitioners</w:t>
            </w:r>
          </w:p>
          <w:p w:rsidR="008D2275" w:rsidRDefault="008D2275" w:rsidP="008D227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1262C">
              <w:rPr>
                <w:rFonts w:ascii="Arial" w:hAnsi="Arial" w:cs="Arial"/>
                <w:color w:val="000000" w:themeColor="text1"/>
                <w:sz w:val="21"/>
                <w:szCs w:val="21"/>
              </w:rPr>
              <w:t>Insurers and self-insurers</w:t>
            </w:r>
          </w:p>
          <w:p w:rsidR="008D2275" w:rsidRDefault="008D2275" w:rsidP="008D2275">
            <w:pPr>
              <w:pStyle w:val="ListParagrap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Estimated timing: </w:t>
            </w:r>
            <w:r w:rsidR="00311887">
              <w:rPr>
                <w:rFonts w:ascii="Arial" w:hAnsi="Arial" w:cs="Arial"/>
                <w:color w:val="000000" w:themeColor="text1"/>
                <w:sz w:val="21"/>
                <w:szCs w:val="21"/>
              </w:rPr>
              <w:t>January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to April 2019</w:t>
            </w:r>
          </w:p>
        </w:tc>
      </w:tr>
      <w:tr w:rsidR="008D2275" w:rsidTr="008D2275">
        <w:tc>
          <w:tcPr>
            <w:tcW w:w="1413" w:type="dxa"/>
            <w:shd w:val="clear" w:color="auto" w:fill="D9E2F3" w:themeFill="accent1" w:themeFillTint="33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Part 2 – behavioural economics review</w:t>
            </w:r>
          </w:p>
        </w:tc>
        <w:tc>
          <w:tcPr>
            <w:tcW w:w="7603" w:type="dxa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2275">
              <w:rPr>
                <w:rFonts w:ascii="Arial" w:hAnsi="Arial" w:cs="Arial"/>
                <w:color w:val="000000" w:themeColor="text1"/>
                <w:sz w:val="21"/>
                <w:szCs w:val="21"/>
              </w:rPr>
              <w:t>Behavioural economics review</w:t>
            </w:r>
            <w:r w:rsidR="00873FE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of prototype certificate and common data set</w:t>
            </w:r>
            <w:r w:rsidRPr="008D227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by expert to identify opportunities </w:t>
            </w:r>
            <w:r w:rsidR="00873FE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and make recommendations </w:t>
            </w:r>
            <w:r w:rsidRPr="008D227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to influence and maximise positive health and return to work outcomes through </w:t>
            </w:r>
            <w:r w:rsidR="00873FE4">
              <w:rPr>
                <w:rFonts w:ascii="Arial" w:hAnsi="Arial" w:cs="Arial"/>
                <w:color w:val="000000" w:themeColor="text1"/>
                <w:sz w:val="21"/>
                <w:szCs w:val="21"/>
              </w:rPr>
              <w:t>language, content and nuancing.</w:t>
            </w:r>
          </w:p>
          <w:p w:rsidR="008D2275" w:rsidRP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227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Estimated timing: </w:t>
            </w:r>
            <w:r w:rsidR="00873FE4">
              <w:rPr>
                <w:rFonts w:ascii="Arial" w:hAnsi="Arial" w:cs="Arial"/>
                <w:color w:val="000000" w:themeColor="text1"/>
                <w:sz w:val="21"/>
                <w:szCs w:val="21"/>
              </w:rPr>
              <w:t>February to March 2019</w:t>
            </w:r>
          </w:p>
        </w:tc>
      </w:tr>
      <w:tr w:rsidR="008D2275" w:rsidTr="008D2275">
        <w:tc>
          <w:tcPr>
            <w:tcW w:w="1413" w:type="dxa"/>
            <w:shd w:val="clear" w:color="auto" w:fill="D9E2F3" w:themeFill="accent1" w:themeFillTint="33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Part 3 – tabling</w:t>
            </w:r>
          </w:p>
        </w:tc>
        <w:tc>
          <w:tcPr>
            <w:tcW w:w="7603" w:type="dxa"/>
          </w:tcPr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The final design of the national certificate to be presented and tabled to HWCA for consideration and/or next steps. A summary of engagement and consultation will accompany the final design, as well as advice regarding adoption and implementation should this be decided by jurisdictions.</w:t>
            </w:r>
          </w:p>
          <w:p w:rsidR="005C6219" w:rsidRDefault="005C6219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:rsidR="008D2275" w:rsidRDefault="008D2275" w:rsidP="008D2275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8D2275">
              <w:rPr>
                <w:rFonts w:ascii="Arial" w:hAnsi="Arial" w:cs="Arial"/>
                <w:color w:val="000000" w:themeColor="text1"/>
                <w:sz w:val="21"/>
                <w:szCs w:val="21"/>
              </w:rPr>
              <w:t>Timing: October 2019 HWCA meeting</w:t>
            </w:r>
          </w:p>
        </w:tc>
      </w:tr>
    </w:tbl>
    <w:p w:rsidR="006A368C" w:rsidRPr="005A5B15" w:rsidRDefault="006A368C" w:rsidP="006A368C">
      <w:pPr>
        <w:spacing w:after="0"/>
        <w:rPr>
          <w:rFonts w:ascii="Arial" w:hAnsi="Arial" w:cs="Arial"/>
          <w:sz w:val="21"/>
          <w:szCs w:val="21"/>
        </w:rPr>
      </w:pPr>
    </w:p>
    <w:p w:rsidR="006A368C" w:rsidRPr="005A5B15" w:rsidRDefault="006A368C" w:rsidP="006A368C">
      <w:pPr>
        <w:spacing w:after="6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high-level intent of the </w:t>
      </w:r>
      <w:r w:rsidR="003B75D1">
        <w:rPr>
          <w:rFonts w:ascii="Arial" w:hAnsi="Arial" w:cs="Arial"/>
          <w:sz w:val="21"/>
          <w:szCs w:val="21"/>
        </w:rPr>
        <w:t>engagement</w:t>
      </w:r>
      <w:r w:rsidRPr="005A5B15">
        <w:rPr>
          <w:rFonts w:ascii="Arial" w:hAnsi="Arial" w:cs="Arial"/>
          <w:sz w:val="21"/>
          <w:szCs w:val="21"/>
        </w:rPr>
        <w:t xml:space="preserve"> is to ensure a NCC: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delivers policy intent and objective of certification of capacity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supports the parties/users involved in the certification and workers’ compensation process (employee, employer, insurer, regulatory authority, etc)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aligns and promotes the principles of health benefits of work and return to work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meets necessary legislative and regulatory requirements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does not impose unnecessary/duplicate work or red tape to users of the certificate (e.g. GPs and insurers)</w:t>
      </w:r>
    </w:p>
    <w:p w:rsidR="006A368C" w:rsidRPr="005A5B15" w:rsidRDefault="006A368C" w:rsidP="006A36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is designed </w:t>
      </w:r>
      <w:r w:rsidR="00545764" w:rsidRPr="005A5B15">
        <w:rPr>
          <w:rFonts w:ascii="Arial" w:hAnsi="Arial" w:cs="Arial"/>
          <w:sz w:val="21"/>
          <w:szCs w:val="21"/>
        </w:rPr>
        <w:t>with a potential</w:t>
      </w:r>
      <w:r w:rsidRPr="005A5B15">
        <w:rPr>
          <w:rFonts w:ascii="Arial" w:hAnsi="Arial" w:cs="Arial"/>
          <w:sz w:val="21"/>
          <w:szCs w:val="21"/>
        </w:rPr>
        <w:t xml:space="preserve"> transition to a digital/electronic format</w:t>
      </w:r>
      <w:r w:rsidR="00545764" w:rsidRPr="005A5B15">
        <w:rPr>
          <w:rFonts w:ascii="Arial" w:hAnsi="Arial" w:cs="Arial"/>
          <w:sz w:val="21"/>
          <w:szCs w:val="21"/>
        </w:rPr>
        <w:t xml:space="preserve"> in mind</w:t>
      </w:r>
    </w:p>
    <w:p w:rsidR="006A368C" w:rsidRPr="005A5B15" w:rsidRDefault="006A368C" w:rsidP="006A368C">
      <w:pPr>
        <w:spacing w:after="0"/>
        <w:rPr>
          <w:rFonts w:ascii="Arial" w:hAnsi="Arial" w:cs="Arial"/>
          <w:sz w:val="21"/>
          <w:szCs w:val="21"/>
        </w:rPr>
      </w:pPr>
    </w:p>
    <w:p w:rsidR="00E529E1" w:rsidRPr="005A5B15" w:rsidRDefault="006A368C" w:rsidP="00E529E1">
      <w:pPr>
        <w:spacing w:after="6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To support the </w:t>
      </w:r>
      <w:r w:rsidR="003B75D1">
        <w:rPr>
          <w:rFonts w:ascii="Arial" w:hAnsi="Arial" w:cs="Arial"/>
          <w:sz w:val="21"/>
          <w:szCs w:val="21"/>
        </w:rPr>
        <w:t>engagement</w:t>
      </w:r>
      <w:r w:rsidRPr="005A5B15">
        <w:rPr>
          <w:rFonts w:ascii="Arial" w:hAnsi="Arial" w:cs="Arial"/>
          <w:sz w:val="21"/>
          <w:szCs w:val="21"/>
        </w:rPr>
        <w:t xml:space="preserve"> process, </w:t>
      </w:r>
      <w:r w:rsidR="003B75D1">
        <w:rPr>
          <w:rFonts w:ascii="Arial" w:hAnsi="Arial" w:cs="Arial"/>
          <w:sz w:val="21"/>
          <w:szCs w:val="21"/>
        </w:rPr>
        <w:t xml:space="preserve">the current NCC data set </w:t>
      </w:r>
      <w:r w:rsidRPr="005A5B15">
        <w:rPr>
          <w:rFonts w:ascii="Arial" w:hAnsi="Arial" w:cs="Arial"/>
          <w:sz w:val="21"/>
          <w:szCs w:val="21"/>
        </w:rPr>
        <w:t xml:space="preserve">and prototype </w:t>
      </w:r>
      <w:r w:rsidR="003B75D1">
        <w:rPr>
          <w:rFonts w:ascii="Arial" w:hAnsi="Arial" w:cs="Arial"/>
          <w:sz w:val="21"/>
          <w:szCs w:val="21"/>
        </w:rPr>
        <w:t>are attached for dis</w:t>
      </w:r>
      <w:r w:rsidR="00FD454D">
        <w:rPr>
          <w:rFonts w:ascii="Arial" w:hAnsi="Arial" w:cs="Arial"/>
          <w:sz w:val="21"/>
          <w:szCs w:val="21"/>
        </w:rPr>
        <w:t>c</w:t>
      </w:r>
      <w:bookmarkStart w:id="0" w:name="_GoBack"/>
      <w:bookmarkEnd w:id="0"/>
      <w:r w:rsidR="003B75D1">
        <w:rPr>
          <w:rFonts w:ascii="Arial" w:hAnsi="Arial" w:cs="Arial"/>
          <w:sz w:val="21"/>
          <w:szCs w:val="21"/>
        </w:rPr>
        <w:t>ussion</w:t>
      </w:r>
      <w:r w:rsidRPr="005A5B15">
        <w:rPr>
          <w:rFonts w:ascii="Arial" w:hAnsi="Arial" w:cs="Arial"/>
          <w:sz w:val="21"/>
          <w:szCs w:val="21"/>
        </w:rPr>
        <w:t>. It is important to note that</w:t>
      </w:r>
      <w:r w:rsidR="00E529E1" w:rsidRPr="005A5B15">
        <w:rPr>
          <w:rFonts w:ascii="Arial" w:hAnsi="Arial" w:cs="Arial"/>
          <w:sz w:val="21"/>
          <w:szCs w:val="21"/>
        </w:rPr>
        <w:t>:</w:t>
      </w:r>
    </w:p>
    <w:p w:rsidR="00E529E1" w:rsidRPr="005A5B15" w:rsidRDefault="00E529E1" w:rsidP="00E529E1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common data set has comprised of the elements that appeared in </w:t>
      </w:r>
      <w:proofErr w:type="gramStart"/>
      <w:r w:rsidRPr="005A5B15">
        <w:rPr>
          <w:rFonts w:ascii="Arial" w:hAnsi="Arial" w:cs="Arial"/>
          <w:sz w:val="21"/>
          <w:szCs w:val="21"/>
        </w:rPr>
        <w:t>the majority of</w:t>
      </w:r>
      <w:proofErr w:type="gramEnd"/>
      <w:r w:rsidRPr="005A5B15">
        <w:rPr>
          <w:rFonts w:ascii="Arial" w:hAnsi="Arial" w:cs="Arial"/>
          <w:sz w:val="21"/>
          <w:szCs w:val="21"/>
        </w:rPr>
        <w:t xml:space="preserve"> jurisdictional certificates of capacity (rather than minimum data set), </w:t>
      </w:r>
    </w:p>
    <w:p w:rsidR="00E529E1" w:rsidRPr="005A5B15" w:rsidRDefault="00E529E1" w:rsidP="00E529E1">
      <w:pPr>
        <w:pStyle w:val="ListParagraph"/>
        <w:numPr>
          <w:ilvl w:val="0"/>
          <w:numId w:val="7"/>
        </w:numPr>
        <w:spacing w:after="60"/>
        <w:contextualSpacing w:val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>supplementary sections are included in the common data set to account for specific question sets mandatory in jur</w:t>
      </w:r>
      <w:r w:rsidR="005A5B15" w:rsidRPr="005A5B15">
        <w:rPr>
          <w:rFonts w:ascii="Arial" w:hAnsi="Arial" w:cs="Arial"/>
          <w:sz w:val="21"/>
          <w:szCs w:val="21"/>
        </w:rPr>
        <w:t>isdictions (it is recommended for these sections to be reviewed by relevant jurisdictions), and</w:t>
      </w:r>
    </w:p>
    <w:p w:rsidR="006A368C" w:rsidRPr="005A5B15" w:rsidRDefault="006A368C" w:rsidP="00E529E1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5A5B15">
        <w:rPr>
          <w:rFonts w:ascii="Arial" w:hAnsi="Arial" w:cs="Arial"/>
          <w:sz w:val="21"/>
          <w:szCs w:val="21"/>
        </w:rPr>
        <w:t xml:space="preserve">the prototype has been developed to support the conceptualisation of a national data set (rather than comprise the final design of a certificate). </w:t>
      </w:r>
    </w:p>
    <w:p w:rsidR="006A368C" w:rsidRPr="00132F7E" w:rsidRDefault="006A368C" w:rsidP="006A368C">
      <w:pPr>
        <w:spacing w:after="0"/>
        <w:rPr>
          <w:rFonts w:ascii="Arial" w:hAnsi="Arial" w:cs="Arial"/>
          <w:sz w:val="20"/>
        </w:rPr>
      </w:pPr>
    </w:p>
    <w:p w:rsidR="006A368C" w:rsidRDefault="006A368C" w:rsidP="006A368C">
      <w:pPr>
        <w:spacing w:after="60"/>
        <w:rPr>
          <w:rFonts w:ascii="Arial Rounded MT Bold" w:hAnsi="Arial Rounded MT Bold" w:cs="Arial"/>
          <w:color w:val="002060"/>
        </w:rPr>
      </w:pPr>
    </w:p>
    <w:p w:rsidR="00E730AB" w:rsidRPr="00132F7E" w:rsidRDefault="00E730AB" w:rsidP="006670F4">
      <w:pPr>
        <w:spacing w:after="120"/>
        <w:rPr>
          <w:rFonts w:ascii="Arial" w:hAnsi="Arial" w:cs="Arial"/>
          <w:color w:val="000000" w:themeColor="text1"/>
          <w:sz w:val="20"/>
        </w:rPr>
      </w:pPr>
    </w:p>
    <w:sectPr w:rsidR="00E730AB" w:rsidRPr="00132F7E" w:rsidSect="005A5B1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EB0"/>
    <w:multiLevelType w:val="hybridMultilevel"/>
    <w:tmpl w:val="46220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2C85"/>
    <w:multiLevelType w:val="hybridMultilevel"/>
    <w:tmpl w:val="54965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270E"/>
    <w:multiLevelType w:val="hybridMultilevel"/>
    <w:tmpl w:val="1FC4E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06C9"/>
    <w:multiLevelType w:val="hybridMultilevel"/>
    <w:tmpl w:val="FF867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047B"/>
    <w:multiLevelType w:val="hybridMultilevel"/>
    <w:tmpl w:val="2D1CF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C3833"/>
    <w:multiLevelType w:val="hybridMultilevel"/>
    <w:tmpl w:val="7DE8A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65814"/>
    <w:multiLevelType w:val="hybridMultilevel"/>
    <w:tmpl w:val="84927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B54C5"/>
    <w:multiLevelType w:val="hybridMultilevel"/>
    <w:tmpl w:val="85DCD8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F4"/>
    <w:rsid w:val="00067F28"/>
    <w:rsid w:val="000A77DA"/>
    <w:rsid w:val="000B2A89"/>
    <w:rsid w:val="000E63BC"/>
    <w:rsid w:val="002303FA"/>
    <w:rsid w:val="0024339F"/>
    <w:rsid w:val="00311887"/>
    <w:rsid w:val="003B75D1"/>
    <w:rsid w:val="003E2795"/>
    <w:rsid w:val="00427E50"/>
    <w:rsid w:val="004F6980"/>
    <w:rsid w:val="005148D3"/>
    <w:rsid w:val="00545764"/>
    <w:rsid w:val="00573297"/>
    <w:rsid w:val="005A5B15"/>
    <w:rsid w:val="005C6219"/>
    <w:rsid w:val="006346F7"/>
    <w:rsid w:val="006670F4"/>
    <w:rsid w:val="006A368C"/>
    <w:rsid w:val="0081262C"/>
    <w:rsid w:val="00873FE4"/>
    <w:rsid w:val="008D2275"/>
    <w:rsid w:val="008D6918"/>
    <w:rsid w:val="00AF70F8"/>
    <w:rsid w:val="00DB36E6"/>
    <w:rsid w:val="00DF2BCF"/>
    <w:rsid w:val="00E17FD9"/>
    <w:rsid w:val="00E529E1"/>
    <w:rsid w:val="00E730AB"/>
    <w:rsid w:val="00F03DDC"/>
    <w:rsid w:val="00FD454D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FAC39"/>
  <w15:chartTrackingRefBased/>
  <w15:docId w15:val="{A8C89318-D3C6-4A87-9F82-AD0922FE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Leung</dc:creator>
  <cp:keywords/>
  <dc:description/>
  <cp:lastModifiedBy>Angela Leung</cp:lastModifiedBy>
  <cp:revision>8</cp:revision>
  <dcterms:created xsi:type="dcterms:W3CDTF">2019-01-20T23:14:00Z</dcterms:created>
  <dcterms:modified xsi:type="dcterms:W3CDTF">2019-01-29T04:38:00Z</dcterms:modified>
</cp:coreProperties>
</file>